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Workplace Collage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goal of this activity is to help understand how the individual envisions their future workplace. By either coming up with their own images, or selecting from the prompts, this activity should help guide your understand of what is important to the client within the workplace.  </w:t>
      </w:r>
    </w:p>
    <w:p w:rsidR="00000000" w:rsidDel="00000000" w:rsidP="00000000" w:rsidRDefault="00000000" w:rsidRPr="00000000">
      <w:pPr>
        <w:ind w:firstLine="720"/>
        <w:contextualSpacing w:val="0"/>
      </w:pPr>
      <w:r w:rsidDel="00000000" w:rsidR="00000000" w:rsidRPr="00000000">
        <w:rPr>
          <w:rtl w:val="0"/>
        </w:rPr>
        <w:t xml:space="preserve">Images that the client selects should follow under the following categories: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Dress</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Community</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Type of work</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Routine</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Amount of oversight</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ab/>
        <w:t xml:space="preserve">Image prompts can be found as cards in the corresponding powerpoint. </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