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Would You Rather Ice-Breaker Activity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The purpose of this activity is for you and the Job Seeker to be more comfortable with each other, and start building rapport. Please individualize this activity once you know one or two of the individual's interests. Asking questions based on the Job Seeker’s interests will help you start getting to know each other.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Would You Rather (abstract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Would you rather have the power of super strength or telepathy?</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Would you rather end world hunger, or cure all disease?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Would you rather have to eat your favorite food every day for the rest of your life, or never eat it again?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Would you rather be a wizard or a shapeshifter?</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Would you rather have breakfast for every meal or dinner for every meal?</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Would you rather live by the ocean or in the mountains?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Would you rather meet the president or a movie star?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or That (more concrete)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Cats or dogs?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Blue or red?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Books or TV?</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Pepsi or Coke?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Mac or PC?</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Ice cream of milkshake?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Chocolate or vanilla?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